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33 / 244 vom 25. September 2012</w:t>
      </w:r>
    </w:p>
    <w:p>
      <w:r>
        <w:t>BL Gerichte, 2012-09-25, DE</w:t>
      </w:r>
    </w:p>
    <w:p>
      <w:r>
        <w:rPr>
          <w:b/>
        </w:rPr>
        <w:t xml:space="preserve">Quelle: </w:t>
      </w:r>
      <w:r>
        <w:t>https://mcp.opencaselaw.ch/entscheid/bl_gerichte_715 2014 33 _ 244</w:t>
      </w:r>
    </w:p>
    <w:p>
      <w:r>
        <w:t>FR: BL_GERICHTE 715 2014 33 / 244 du 25 septembre 2012</w:t>
      </w:r>
    </w:p>
    <w:p>
      <w:r>
        <w:t>IT: BL_GERICHTE 715 2014 33 / 244 del 25 settembre 2012</w:t>
      </w:r>
    </w:p>
    <w:p>
      <w:pPr>
        <w:pStyle w:val="Heading2"/>
      </w:pPr>
      <w:r>
        <w:t>Regeste</w:t>
      </w:r>
    </w:p>
    <w:p>
      <w:r>
        <w:t>Rückforderung</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der Versicherte seine Kontrollpflicht erfüllt. Während der Zeitdauer des Leistungsbezugs hat der Beschwerdeführer seine Kontrollpflicht im Kanton Basel-Landschaft erfüllt. Nach § 54 Abs. 1 lit. a des Gesetzes über die Verfassungs- und Verwaltungsprozessordnung (VPO) vom 16. Dezember 1993 ist das Kantonsgericht als einzige gerichtliche Instanz des Kantons Basel-Landschaft zur Behandlung von Beschwerden gegen Verfügungen gemäss Art. 100 AVIG zuständig. Auf die beim örtlich und sachlich zuständigen Gericht frist- und formgerecht eingereichte Beschwerde vom 27. Januar 2014 ist somit einzutreten.</w:t>
      </w:r>
    </w:p>
    <w:p>
      <w:r>
        <w:rPr>
          <w:b/>
        </w:rPr>
        <w:t>E. 2</w:t>
      </w:r>
    </w:p>
    <w:p>
      <w:r>
        <w:t>Nach § 55 Abs. 1 VPO entscheidet die Präsidentin der Abteilung Sozialversicherungsrecht des Kantonsgerichts bei Streitigkeiten bis zu einem Streitwert von Fr. 10‘000.--. Im vorliegenden Fall beträgt der Streitwert der geltend gemachten Rückforderung Fr. 5‘500.90, womit die präsidiale Zuständigkeit begründet ist.</w:t>
      </w:r>
    </w:p>
    <w:p>
      <w:r>
        <w:rPr>
          <w:b/>
        </w:rPr>
        <w:t>E. 3</w:t>
      </w:r>
    </w:p>
    <w:p>
      <w:r>
        <w:t>Die Beschwerdegegnerin hat dem Beschwerdeführer eine Parteientschädigung in der Höhe von Fr. 2‘759.40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